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49" w:rsidRPr="00846435" w:rsidRDefault="00D55349" w:rsidP="00D55349">
      <w:pPr>
        <w:pStyle w:val="a3"/>
        <w:spacing w:line="276" w:lineRule="auto"/>
        <w:rPr>
          <w:b w:val="0"/>
          <w:szCs w:val="28"/>
        </w:rPr>
      </w:pPr>
      <w:r w:rsidRPr="00846435">
        <w:rPr>
          <w:b w:val="0"/>
          <w:szCs w:val="28"/>
        </w:rPr>
        <w:t>РОССИЙСКАЯ ФЕДЕРАЦИЯ</w:t>
      </w:r>
    </w:p>
    <w:p w:rsidR="00D55349" w:rsidRPr="00846435" w:rsidRDefault="00D55349" w:rsidP="00D55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D55349" w:rsidRPr="00846435" w:rsidRDefault="00D55349" w:rsidP="00D55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>ИЗБИРАТЕЛЬНАЯ КОМИССИЯ МО «</w:t>
      </w:r>
      <w:r w:rsidR="00C026E2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Pr="00846435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</w:t>
      </w:r>
      <w:r w:rsidRPr="00846435">
        <w:rPr>
          <w:rFonts w:ascii="Times New Roman" w:hAnsi="Times New Roman" w:cs="Times New Roman"/>
          <w:b/>
          <w:sz w:val="28"/>
          <w:szCs w:val="28"/>
        </w:rPr>
        <w:tab/>
      </w:r>
    </w:p>
    <w:p w:rsidR="00D55349" w:rsidRPr="00846435" w:rsidRDefault="00D55349" w:rsidP="00D55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D55349" w:rsidRPr="00846435" w:rsidRDefault="00E16C0F" w:rsidP="00D55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№ 67</w:t>
      </w:r>
    </w:p>
    <w:p w:rsidR="00D55349" w:rsidRDefault="00C026E2" w:rsidP="00D553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="00E16C0F">
        <w:rPr>
          <w:rFonts w:ascii="Times New Roman" w:hAnsi="Times New Roman" w:cs="Times New Roman"/>
          <w:sz w:val="28"/>
          <w:szCs w:val="28"/>
        </w:rPr>
        <w:t xml:space="preserve">   « 8 » августа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D55349" w:rsidRPr="008464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5349" w:rsidRDefault="00D55349" w:rsidP="00D55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349" w:rsidRDefault="00D55349" w:rsidP="00D5534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349">
        <w:rPr>
          <w:rFonts w:ascii="Times New Roman" w:hAnsi="Times New Roman" w:cs="Times New Roman"/>
          <w:b/>
          <w:bCs/>
          <w:sz w:val="28"/>
          <w:szCs w:val="28"/>
        </w:rPr>
        <w:t>Об установлении времени проведения агитационных публичных мероприятий в форме собраний в помещениях, находящихся в государственной или муниципальной собственности, в период проведения избирательной кампании повыборам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Главы и </w:t>
      </w:r>
    </w:p>
    <w:p w:rsidR="00D55349" w:rsidRPr="00D55349" w:rsidRDefault="00C536C6" w:rsidP="00D5534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r w:rsidR="00D55349" w:rsidRPr="00D55349">
        <w:rPr>
          <w:rFonts w:ascii="Times New Roman" w:hAnsi="Times New Roman" w:cs="Times New Roman"/>
          <w:b/>
          <w:bCs/>
          <w:sz w:val="28"/>
          <w:szCs w:val="28"/>
        </w:rPr>
        <w:t>Совета депутатов МО «</w:t>
      </w:r>
      <w:proofErr w:type="spellStart"/>
      <w:r w:rsidR="00C026E2">
        <w:rPr>
          <w:rFonts w:ascii="Times New Roman" w:hAnsi="Times New Roman" w:cs="Times New Roman"/>
          <w:b/>
          <w:bCs/>
          <w:sz w:val="28"/>
          <w:szCs w:val="28"/>
        </w:rPr>
        <w:t>Канинский</w:t>
      </w:r>
      <w:proofErr w:type="spellEnd"/>
      <w:r w:rsidR="00D55349" w:rsidRPr="00D5534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Н</w:t>
      </w:r>
      <w:r w:rsidR="00650523">
        <w:rPr>
          <w:rFonts w:ascii="Times New Roman" w:hAnsi="Times New Roman" w:cs="Times New Roman"/>
          <w:b/>
          <w:bCs/>
          <w:sz w:val="28"/>
          <w:szCs w:val="28"/>
        </w:rPr>
        <w:t>ене</w:t>
      </w:r>
      <w:r w:rsidR="00C026E2">
        <w:rPr>
          <w:rFonts w:ascii="Times New Roman" w:hAnsi="Times New Roman" w:cs="Times New Roman"/>
          <w:b/>
          <w:bCs/>
          <w:sz w:val="28"/>
          <w:szCs w:val="28"/>
        </w:rPr>
        <w:t>цкого автономного округа 27</w:t>
      </w:r>
      <w:r w:rsidR="00875D31">
        <w:rPr>
          <w:rFonts w:ascii="Times New Roman" w:hAnsi="Times New Roman" w:cs="Times New Roman"/>
          <w:b/>
          <w:bCs/>
          <w:sz w:val="28"/>
          <w:szCs w:val="28"/>
        </w:rPr>
        <w:t xml:space="preserve">-го созыва </w:t>
      </w:r>
    </w:p>
    <w:p w:rsidR="00D55349" w:rsidRPr="00846435" w:rsidRDefault="00D55349" w:rsidP="00D55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2ED" w:rsidRPr="00476F3A" w:rsidRDefault="00AC528B" w:rsidP="00BD0F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6F3A">
        <w:rPr>
          <w:rFonts w:ascii="Times New Roman" w:hAnsi="Times New Roman" w:cs="Times New Roman"/>
          <w:sz w:val="28"/>
          <w:szCs w:val="28"/>
        </w:rPr>
        <w:t>В соответствии со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1221E8" w:rsidRPr="00476F3A">
        <w:rPr>
          <w:rFonts w:ascii="Times New Roman" w:hAnsi="Times New Roman" w:cs="Times New Roman"/>
          <w:sz w:val="28"/>
          <w:szCs w:val="28"/>
        </w:rPr>
        <w:t>»</w:t>
      </w:r>
      <w:r w:rsidR="008A285E" w:rsidRPr="00476F3A">
        <w:rPr>
          <w:rFonts w:ascii="Times New Roman" w:hAnsi="Times New Roman" w:cs="Times New Roman"/>
          <w:sz w:val="28"/>
          <w:szCs w:val="28"/>
        </w:rPr>
        <w:t xml:space="preserve">, статьей 37 закона Ненецкого автономного округа от 28 ноября 2008 года № 93-оз "О выборах депутатов представительных органов муниципальных образований и выборных должностных лиц в ненецком автономном округе", </w:t>
      </w:r>
      <w:r w:rsidR="00BD0F7F" w:rsidRPr="00476F3A">
        <w:rPr>
          <w:rFonts w:ascii="Times New Roman" w:hAnsi="Times New Roman" w:cs="Times New Roman"/>
          <w:sz w:val="28"/>
          <w:szCs w:val="28"/>
        </w:rPr>
        <w:t xml:space="preserve"> в целях обеспечения равных условий припроведении</w:t>
      </w:r>
      <w:proofErr w:type="gramEnd"/>
      <w:r w:rsidR="00BD0F7F" w:rsidRPr="00476F3A">
        <w:rPr>
          <w:rFonts w:ascii="Times New Roman" w:hAnsi="Times New Roman" w:cs="Times New Roman"/>
          <w:sz w:val="28"/>
          <w:szCs w:val="28"/>
        </w:rPr>
        <w:t xml:space="preserve"> агитационных публичных мероприятий в форме собраний в помещениях, находящихся в государственной или муниципальной собственности,</w:t>
      </w:r>
      <w:r w:rsidR="002F6F26" w:rsidRPr="00476F3A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«</w:t>
      </w:r>
      <w:proofErr w:type="spellStart"/>
      <w:r w:rsidR="00C026E2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2F6F26" w:rsidRPr="00476F3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</w:t>
      </w:r>
      <w:r w:rsidR="00650523">
        <w:rPr>
          <w:rFonts w:ascii="Times New Roman" w:hAnsi="Times New Roman" w:cs="Times New Roman"/>
          <w:sz w:val="28"/>
          <w:szCs w:val="28"/>
        </w:rPr>
        <w:t xml:space="preserve"> </w:t>
      </w:r>
      <w:r w:rsidR="001221E8" w:rsidRPr="00476F3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033F2" w:rsidRPr="00476F3A" w:rsidRDefault="001221E8" w:rsidP="00103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76F3A">
        <w:rPr>
          <w:rFonts w:ascii="Times New Roman" w:hAnsi="Times New Roman" w:cs="Times New Roman"/>
          <w:sz w:val="28"/>
          <w:szCs w:val="28"/>
        </w:rPr>
        <w:t>Установить время для встреч с избирателями в помещениях, предоставляемых по заявкам</w:t>
      </w:r>
      <w:r w:rsidR="00212139" w:rsidRPr="00476F3A">
        <w:rPr>
          <w:rFonts w:ascii="Times New Roman" w:hAnsi="Times New Roman" w:cs="Times New Roman"/>
          <w:sz w:val="28"/>
          <w:szCs w:val="28"/>
        </w:rPr>
        <w:t xml:space="preserve"> зарегистрированных</w:t>
      </w:r>
      <w:r w:rsidRPr="00476F3A">
        <w:rPr>
          <w:rFonts w:ascii="Times New Roman" w:hAnsi="Times New Roman" w:cs="Times New Roman"/>
          <w:sz w:val="28"/>
          <w:szCs w:val="28"/>
        </w:rPr>
        <w:t xml:space="preserve"> к</w:t>
      </w:r>
      <w:r w:rsidR="00212139" w:rsidRPr="00476F3A">
        <w:rPr>
          <w:rFonts w:ascii="Times New Roman" w:hAnsi="Times New Roman" w:cs="Times New Roman"/>
          <w:sz w:val="28"/>
          <w:szCs w:val="28"/>
        </w:rPr>
        <w:t>андидатов</w:t>
      </w:r>
      <w:r w:rsidRPr="00476F3A">
        <w:rPr>
          <w:rFonts w:ascii="Times New Roman" w:hAnsi="Times New Roman" w:cs="Times New Roman"/>
          <w:sz w:val="28"/>
          <w:szCs w:val="28"/>
        </w:rPr>
        <w:t xml:space="preserve"> на должность Главы муниципального образования «</w:t>
      </w:r>
      <w:proofErr w:type="spellStart"/>
      <w:r w:rsidR="00C026E2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476F3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212139" w:rsidRPr="00476F3A">
        <w:rPr>
          <w:rFonts w:ascii="Times New Roman" w:hAnsi="Times New Roman" w:cs="Times New Roman"/>
          <w:sz w:val="28"/>
          <w:szCs w:val="28"/>
        </w:rPr>
        <w:t xml:space="preserve"> Н</w:t>
      </w:r>
      <w:r w:rsidRPr="00476F3A">
        <w:rPr>
          <w:rFonts w:ascii="Times New Roman" w:hAnsi="Times New Roman" w:cs="Times New Roman"/>
          <w:sz w:val="28"/>
          <w:szCs w:val="28"/>
        </w:rPr>
        <w:t>енецког</w:t>
      </w:r>
      <w:r w:rsidR="00212139" w:rsidRPr="00476F3A">
        <w:rPr>
          <w:rFonts w:ascii="Times New Roman" w:hAnsi="Times New Roman" w:cs="Times New Roman"/>
          <w:sz w:val="28"/>
          <w:szCs w:val="28"/>
        </w:rPr>
        <w:t>о автономного округа и депутатов</w:t>
      </w:r>
      <w:r w:rsidRPr="00476F3A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C026E2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476F3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C026E2">
        <w:rPr>
          <w:rFonts w:ascii="Times New Roman" w:hAnsi="Times New Roman" w:cs="Times New Roman"/>
          <w:sz w:val="28"/>
          <w:szCs w:val="28"/>
        </w:rPr>
        <w:t>27</w:t>
      </w:r>
      <w:r w:rsidRPr="00476F3A">
        <w:rPr>
          <w:rFonts w:ascii="Times New Roman" w:hAnsi="Times New Roman" w:cs="Times New Roman"/>
          <w:sz w:val="28"/>
          <w:szCs w:val="28"/>
        </w:rPr>
        <w:t xml:space="preserve">-го созыва </w:t>
      </w:r>
      <w:r w:rsidR="001033F2" w:rsidRPr="00476F3A">
        <w:rPr>
          <w:rFonts w:ascii="Times New Roman" w:hAnsi="Times New Roman" w:cs="Times New Roman"/>
          <w:sz w:val="28"/>
          <w:szCs w:val="28"/>
        </w:rPr>
        <w:t xml:space="preserve">(далее – зарегистрированные кандидаты), собственниками, владельцами помещений, находящихся в государственной или муниципальной собственности и пригодных для проведения агитационных публичных мероприятий, проводимых в форме собраний: </w:t>
      </w:r>
      <w:proofErr w:type="gramEnd"/>
    </w:p>
    <w:p w:rsidR="001033F2" w:rsidRPr="00476F3A" w:rsidRDefault="001033F2" w:rsidP="00103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lastRenderedPageBreak/>
        <w:t xml:space="preserve">в будние дни – на период времени, не превышающий одного часа для каждого зарегистрированного кандидата; </w:t>
      </w:r>
    </w:p>
    <w:p w:rsidR="001033F2" w:rsidRPr="00476F3A" w:rsidRDefault="001033F2" w:rsidP="00103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>в выходные и нерабочие праздничные дни – на период времени, не превышающий двух часов длякаждого зарегистрированного кандидата.</w:t>
      </w:r>
    </w:p>
    <w:p w:rsidR="008869D1" w:rsidRPr="00476F3A" w:rsidRDefault="00E52E6C" w:rsidP="00886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6F3A">
        <w:rPr>
          <w:rFonts w:ascii="Times New Roman" w:hAnsi="Times New Roman" w:cs="Times New Roman"/>
          <w:sz w:val="28"/>
          <w:szCs w:val="28"/>
        </w:rPr>
        <w:t xml:space="preserve">Собственникам, владельцам помещений, указанных в пункте 1 настоящего </w:t>
      </w:r>
      <w:r w:rsidR="00FC26F7">
        <w:rPr>
          <w:rFonts w:ascii="Times New Roman" w:hAnsi="Times New Roman" w:cs="Times New Roman"/>
          <w:sz w:val="28"/>
          <w:szCs w:val="28"/>
        </w:rPr>
        <w:t>решения</w:t>
      </w:r>
      <w:r w:rsidRPr="00476F3A">
        <w:rPr>
          <w:rFonts w:ascii="Times New Roman" w:hAnsi="Times New Roman" w:cs="Times New Roman"/>
          <w:sz w:val="28"/>
          <w:szCs w:val="28"/>
        </w:rPr>
        <w:t xml:space="preserve">, а также собственникам, владельцам помещений, находящихся в собственности организаций, </w:t>
      </w:r>
      <w:r w:rsidR="008869D1" w:rsidRPr="00476F3A">
        <w:rPr>
          <w:rFonts w:ascii="Times New Roman" w:hAnsi="Times New Roman" w:cs="Times New Roman"/>
          <w:sz w:val="28"/>
          <w:szCs w:val="28"/>
        </w:rPr>
        <w:t>предоставившим помещения зарегистрированному кандидату для проведения соответствующих агитационных публичных мероприятий, не позднее дня, следующего за днем предоставления помещения, обеспечить своевременное письменное уведомление избирательной комиссии муниципального образования «</w:t>
      </w:r>
      <w:proofErr w:type="spellStart"/>
      <w:r w:rsidR="00C026E2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8869D1" w:rsidRPr="00476F3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о факте предоставления помещения, об условиях, на которых оно было предоставлено</w:t>
      </w:r>
      <w:proofErr w:type="gramEnd"/>
      <w:r w:rsidR="008869D1" w:rsidRPr="00476F3A">
        <w:rPr>
          <w:rFonts w:ascii="Times New Roman" w:hAnsi="Times New Roman" w:cs="Times New Roman"/>
          <w:sz w:val="28"/>
          <w:szCs w:val="28"/>
        </w:rPr>
        <w:t>, а также о том, когда это помещение может быть предоставлено в течение агитационного периода другим политическим партиям, другим зарегистрированным кандидатам, по форме, установленной приложением № 1 к настоящему решению.</w:t>
      </w:r>
    </w:p>
    <w:p w:rsidR="00976255" w:rsidRPr="00476F3A" w:rsidRDefault="00976255" w:rsidP="00976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>3. Избирательной комиссии муниципального образования «</w:t>
      </w:r>
      <w:proofErr w:type="spellStart"/>
      <w:r w:rsidR="00C026E2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476F3A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округа:</w:t>
      </w:r>
    </w:p>
    <w:p w:rsidR="00976255" w:rsidRPr="00476F3A" w:rsidRDefault="00976255" w:rsidP="00976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 xml:space="preserve">размещать в течение двух суток с момента получения уведомления, указанного в пункте 2 настоящего </w:t>
      </w:r>
      <w:r w:rsidR="00FC26F7">
        <w:rPr>
          <w:rFonts w:ascii="Times New Roman" w:hAnsi="Times New Roman" w:cs="Times New Roman"/>
          <w:sz w:val="28"/>
          <w:szCs w:val="28"/>
        </w:rPr>
        <w:t>решения</w:t>
      </w:r>
      <w:r w:rsidRPr="00476F3A">
        <w:rPr>
          <w:rFonts w:ascii="Times New Roman" w:hAnsi="Times New Roman" w:cs="Times New Roman"/>
          <w:sz w:val="28"/>
          <w:szCs w:val="28"/>
        </w:rPr>
        <w:t xml:space="preserve">, содержащуюся в нем информацию в информационно-телекоммуникационной сети «Интернет» по форме, установленной приложением № 2 к настоящему </w:t>
      </w:r>
      <w:r w:rsidR="008E3C6F">
        <w:rPr>
          <w:rFonts w:ascii="Times New Roman" w:hAnsi="Times New Roman" w:cs="Times New Roman"/>
          <w:sz w:val="28"/>
          <w:szCs w:val="28"/>
        </w:rPr>
        <w:t>решению</w:t>
      </w:r>
      <w:r w:rsidRPr="00476F3A">
        <w:rPr>
          <w:rFonts w:ascii="Times New Roman" w:hAnsi="Times New Roman" w:cs="Times New Roman"/>
          <w:sz w:val="28"/>
          <w:szCs w:val="28"/>
        </w:rPr>
        <w:t>;</w:t>
      </w:r>
    </w:p>
    <w:p w:rsidR="00976255" w:rsidRPr="00476F3A" w:rsidRDefault="00976255" w:rsidP="00976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 xml:space="preserve"> довести настоящее решение до собственников, владельцев помещений, указанных в настоящем решении.</w:t>
      </w:r>
    </w:p>
    <w:p w:rsidR="00DB4C86" w:rsidRPr="00476F3A" w:rsidRDefault="00DB4C86" w:rsidP="00976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F3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6F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F3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избирательной комиссии муниципального образования «</w:t>
      </w:r>
      <w:proofErr w:type="spellStart"/>
      <w:r w:rsidR="00C026E2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C026E2">
        <w:rPr>
          <w:rFonts w:ascii="Times New Roman" w:hAnsi="Times New Roman" w:cs="Times New Roman"/>
          <w:sz w:val="28"/>
          <w:szCs w:val="28"/>
        </w:rPr>
        <w:t xml:space="preserve">  сельсовет» Н</w:t>
      </w:r>
      <w:r w:rsidRPr="00476F3A">
        <w:rPr>
          <w:rFonts w:ascii="Times New Roman" w:hAnsi="Times New Roman" w:cs="Times New Roman"/>
          <w:sz w:val="28"/>
          <w:szCs w:val="28"/>
        </w:rPr>
        <w:t xml:space="preserve">енецкого автономного округа </w:t>
      </w:r>
      <w:r w:rsidR="00C026E2">
        <w:rPr>
          <w:rFonts w:ascii="Times New Roman" w:hAnsi="Times New Roman" w:cs="Times New Roman"/>
          <w:sz w:val="28"/>
          <w:szCs w:val="28"/>
        </w:rPr>
        <w:t>Шубину Г.И</w:t>
      </w:r>
      <w:r w:rsidR="00875D31">
        <w:rPr>
          <w:rFonts w:ascii="Times New Roman" w:hAnsi="Times New Roman" w:cs="Times New Roman"/>
          <w:sz w:val="28"/>
          <w:szCs w:val="28"/>
        </w:rPr>
        <w:t>.</w:t>
      </w:r>
    </w:p>
    <w:p w:rsidR="00562D2E" w:rsidRPr="00476F3A" w:rsidRDefault="00562D2E" w:rsidP="00562D2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6F3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562D2E" w:rsidRPr="00476F3A" w:rsidRDefault="00562D2E" w:rsidP="00562D2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6F3A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proofErr w:type="spellStart"/>
      <w:r w:rsidR="00C026E2">
        <w:rPr>
          <w:rFonts w:ascii="Times New Roman" w:eastAsia="Times New Roman" w:hAnsi="Times New Roman" w:cs="Times New Roman"/>
          <w:sz w:val="28"/>
          <w:szCs w:val="28"/>
        </w:rPr>
        <w:t>Канинский</w:t>
      </w:r>
      <w:proofErr w:type="spellEnd"/>
      <w:r w:rsidRPr="00476F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НАО                         ____________ </w:t>
      </w:r>
      <w:r w:rsidR="00C026E2">
        <w:rPr>
          <w:rFonts w:ascii="Times New Roman" w:eastAsia="Times New Roman" w:hAnsi="Times New Roman" w:cs="Times New Roman"/>
          <w:bCs/>
          <w:sz w:val="28"/>
          <w:szCs w:val="28"/>
        </w:rPr>
        <w:t>/ Шубина Г.И.</w:t>
      </w:r>
    </w:p>
    <w:p w:rsidR="00562D2E" w:rsidRPr="00476F3A" w:rsidRDefault="00562D2E" w:rsidP="00562D2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2D2E" w:rsidRPr="00476F3A" w:rsidRDefault="00875D31" w:rsidP="00562D2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</w:t>
      </w:r>
      <w:r w:rsidR="00562D2E" w:rsidRPr="00476F3A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562D2E" w:rsidRPr="00476F3A" w:rsidRDefault="00562D2E" w:rsidP="00562D2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6F3A">
        <w:rPr>
          <w:rFonts w:ascii="Times New Roman" w:eastAsia="Times New Roman" w:hAnsi="Times New Roman" w:cs="Times New Roman"/>
          <w:bCs/>
          <w:sz w:val="28"/>
          <w:szCs w:val="28"/>
        </w:rPr>
        <w:t>МО «</w:t>
      </w:r>
      <w:proofErr w:type="spellStart"/>
      <w:r w:rsidR="00C026E2">
        <w:rPr>
          <w:rFonts w:ascii="Times New Roman" w:eastAsia="Times New Roman" w:hAnsi="Times New Roman" w:cs="Times New Roman"/>
          <w:sz w:val="28"/>
          <w:szCs w:val="28"/>
        </w:rPr>
        <w:t>Канинский</w:t>
      </w:r>
      <w:proofErr w:type="spellEnd"/>
      <w:r w:rsidR="00650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F3A">
        <w:rPr>
          <w:rFonts w:ascii="Times New Roman" w:eastAsia="Times New Roman" w:hAnsi="Times New Roman" w:cs="Times New Roman"/>
          <w:bCs/>
          <w:sz w:val="28"/>
          <w:szCs w:val="28"/>
        </w:rPr>
        <w:t>сель</w:t>
      </w:r>
      <w:r w:rsidR="00C026E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совет» НАО                  </w:t>
      </w:r>
      <w:r w:rsidRPr="00476F3A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 </w:t>
      </w:r>
      <w:r w:rsidR="00875D31">
        <w:rPr>
          <w:rFonts w:ascii="Times New Roman" w:eastAsia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="00C026E2">
        <w:rPr>
          <w:rFonts w:ascii="Times New Roman" w:eastAsia="Times New Roman" w:hAnsi="Times New Roman" w:cs="Times New Roman"/>
          <w:bCs/>
          <w:sz w:val="28"/>
          <w:szCs w:val="28"/>
        </w:rPr>
        <w:t>Бобрикова</w:t>
      </w:r>
      <w:proofErr w:type="spellEnd"/>
      <w:r w:rsidR="00C026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И.Ю.</w:t>
      </w:r>
    </w:p>
    <w:p w:rsidR="00BF5666" w:rsidRDefault="00BF5666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  <w:sectPr w:rsidR="00BF56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C6F" w:rsidRDefault="008E3C6F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</w:p>
    <w:p w:rsidR="008E3C6F" w:rsidRDefault="008E3C6F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</w:p>
    <w:p w:rsidR="008E3C6F" w:rsidRDefault="008E3C6F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</w:p>
    <w:p w:rsidR="001033F2" w:rsidRPr="002733CA" w:rsidRDefault="00356865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Приложение № 1</w:t>
      </w:r>
    </w:p>
    <w:p w:rsidR="00356865" w:rsidRPr="002733CA" w:rsidRDefault="002733CA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75D31">
        <w:rPr>
          <w:rFonts w:ascii="Times New Roman" w:hAnsi="Times New Roman" w:cs="Times New Roman"/>
        </w:rPr>
        <w:t>р</w:t>
      </w:r>
      <w:r w:rsidR="00356865" w:rsidRPr="002733CA">
        <w:rPr>
          <w:rFonts w:ascii="Times New Roman" w:hAnsi="Times New Roman" w:cs="Times New Roman"/>
        </w:rPr>
        <w:t>ешению избирательной комиссии</w:t>
      </w:r>
    </w:p>
    <w:p w:rsidR="00356865" w:rsidRPr="002733CA" w:rsidRDefault="00356865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Муниципального образования</w:t>
      </w:r>
    </w:p>
    <w:p w:rsidR="00356865" w:rsidRPr="002733CA" w:rsidRDefault="00356865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«</w:t>
      </w:r>
      <w:proofErr w:type="spellStart"/>
      <w:r w:rsidR="00C026E2">
        <w:rPr>
          <w:rFonts w:ascii="Times New Roman" w:hAnsi="Times New Roman" w:cs="Times New Roman"/>
        </w:rPr>
        <w:t>Канинский</w:t>
      </w:r>
      <w:proofErr w:type="spellEnd"/>
      <w:r w:rsidRPr="002733CA">
        <w:rPr>
          <w:rFonts w:ascii="Times New Roman" w:hAnsi="Times New Roman" w:cs="Times New Roman"/>
        </w:rPr>
        <w:t xml:space="preserve"> сельсовет»</w:t>
      </w:r>
    </w:p>
    <w:p w:rsidR="00356865" w:rsidRDefault="00356865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Ненецкого автономного округа</w:t>
      </w:r>
    </w:p>
    <w:p w:rsidR="00BF5666" w:rsidRDefault="00E16C0F" w:rsidP="002733CA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8 </w:t>
      </w:r>
      <w:r w:rsidR="002733C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="00C026E2">
        <w:rPr>
          <w:rFonts w:ascii="Times New Roman" w:hAnsi="Times New Roman" w:cs="Times New Roman"/>
        </w:rPr>
        <w:t xml:space="preserve"> 2018 </w:t>
      </w:r>
      <w:r>
        <w:rPr>
          <w:rFonts w:ascii="Times New Roman" w:hAnsi="Times New Roman" w:cs="Times New Roman"/>
        </w:rPr>
        <w:t>г  № 67</w:t>
      </w:r>
    </w:p>
    <w:p w:rsidR="00BF5666" w:rsidRPr="008E3C6F" w:rsidRDefault="00BF5666" w:rsidP="00BF5666">
      <w:pPr>
        <w:pStyle w:val="Default"/>
        <w:jc w:val="center"/>
        <w:rPr>
          <w:b/>
          <w:sz w:val="23"/>
          <w:szCs w:val="23"/>
        </w:rPr>
      </w:pPr>
      <w:r w:rsidRPr="008E3C6F">
        <w:rPr>
          <w:b/>
          <w:bCs/>
          <w:sz w:val="23"/>
          <w:szCs w:val="23"/>
        </w:rPr>
        <w:t>Уведомление</w:t>
      </w:r>
    </w:p>
    <w:p w:rsidR="00BF5666" w:rsidRPr="00BF5666" w:rsidRDefault="00BF5666" w:rsidP="00BF5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зарегистрированных кандидатов на должность Главы муниципального образования «</w:t>
      </w:r>
      <w:proofErr w:type="spellStart"/>
      <w:r w:rsidR="00C026E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Канинский</w:t>
      </w:r>
      <w:proofErr w:type="spellEnd"/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сельсовет» Ненецкого автономного округа и депутатов Совета депутатов муниципального образования «</w:t>
      </w:r>
      <w:proofErr w:type="spellStart"/>
      <w:r w:rsidR="00C026E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Канинский</w:t>
      </w:r>
      <w:proofErr w:type="spellEnd"/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сельсовет» Ненецкого автономного округа </w:t>
      </w:r>
      <w:r w:rsidR="00C026E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27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-го созыва </w:t>
      </w:r>
    </w:p>
    <w:p w:rsidR="00BF5666" w:rsidRPr="00BF5666" w:rsidRDefault="00BF5666" w:rsidP="00BF5666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>тствии с пунктами 3 и 4 статьи 53</w:t>
      </w:r>
      <w:r w:rsidR="00791757"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1"/>
        <w:tblW w:w="0" w:type="auto"/>
        <w:tblLook w:val="04A0"/>
      </w:tblPr>
      <w:tblGrid>
        <w:gridCol w:w="1722"/>
        <w:gridCol w:w="1721"/>
        <w:gridCol w:w="1721"/>
        <w:gridCol w:w="1771"/>
        <w:gridCol w:w="1352"/>
        <w:gridCol w:w="1437"/>
        <w:gridCol w:w="1520"/>
        <w:gridCol w:w="1771"/>
        <w:gridCol w:w="1771"/>
      </w:tblGrid>
      <w:tr w:rsidR="00BF5666" w:rsidRPr="00BF5666" w:rsidTr="008E3C6F">
        <w:tc>
          <w:tcPr>
            <w:tcW w:w="1705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sz w:val="23"/>
                <w:szCs w:val="23"/>
              </w:rPr>
              <w:t>Фамилия, имя, отчество кандидата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F5666" w:rsidRPr="00BF5666" w:rsidTr="008E3C6F">
        <w:tc>
          <w:tcPr>
            <w:tcW w:w="1705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05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BF5666" w:rsidRPr="00BF5666" w:rsidTr="008E3C6F">
        <w:tc>
          <w:tcPr>
            <w:tcW w:w="1705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BF5666" w:rsidRPr="00BF5666" w:rsidRDefault="00BF5666" w:rsidP="00BF566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68"/>
        <w:gridCol w:w="3568"/>
        <w:gridCol w:w="3568"/>
        <w:gridCol w:w="3568"/>
      </w:tblGrid>
      <w:tr w:rsidR="00BF5666" w:rsidRPr="00BF5666" w:rsidTr="008E3C6F">
        <w:trPr>
          <w:trHeight w:val="344"/>
        </w:trPr>
        <w:tc>
          <w:tcPr>
            <w:tcW w:w="3568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Руководитель организации </w:t>
            </w:r>
          </w:p>
        </w:tc>
        <w:tc>
          <w:tcPr>
            <w:tcW w:w="3568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__________________________ </w:t>
            </w: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(подпись)</w:t>
            </w: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МП</w:t>
            </w:r>
          </w:p>
        </w:tc>
        <w:tc>
          <w:tcPr>
            <w:tcW w:w="3568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_________________________ </w:t>
            </w: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(ФИО)</w:t>
            </w:r>
          </w:p>
        </w:tc>
        <w:tc>
          <w:tcPr>
            <w:tcW w:w="3568" w:type="dxa"/>
          </w:tcPr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 </w:t>
            </w:r>
          </w:p>
          <w:p w:rsidR="00BF5666" w:rsidRPr="00BF5666" w:rsidRDefault="00BF5666" w:rsidP="00BF5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(дата)</w:t>
            </w:r>
          </w:p>
        </w:tc>
      </w:tr>
    </w:tbl>
    <w:p w:rsidR="00BF5666" w:rsidRPr="00BF5666" w:rsidRDefault="00BF5666" w:rsidP="00BF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 Заполняется при наличии соответствующих сведений </w:t>
      </w:r>
    </w:p>
    <w:p w:rsidR="00BF5666" w:rsidRPr="00BF5666" w:rsidRDefault="00BF5666" w:rsidP="00BF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** В случае предоставления помещения за плату организацией, - в графе указывается стоимость оплаты. </w:t>
      </w:r>
    </w:p>
    <w:p w:rsidR="00BF5666" w:rsidRPr="00BF5666" w:rsidRDefault="00BF5666" w:rsidP="00BF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 w:rsidR="0055668C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</w:p>
    <w:p w:rsidR="002733CA" w:rsidRPr="002733CA" w:rsidRDefault="002733CA" w:rsidP="00BF5666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</w:p>
    <w:p w:rsidR="00BF5666" w:rsidRDefault="00BF5666" w:rsidP="00BD0F7F">
      <w:pPr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BF5666" w:rsidSect="0055668C">
          <w:pgSz w:w="16838" w:h="11906" w:orient="landscape"/>
          <w:pgMar w:top="312" w:right="1134" w:bottom="284" w:left="1134" w:header="709" w:footer="709" w:gutter="0"/>
          <w:cols w:space="708"/>
          <w:docGrid w:linePitch="360"/>
        </w:sectPr>
      </w:pPr>
    </w:p>
    <w:p w:rsidR="00A776DC" w:rsidRPr="002733CA" w:rsidRDefault="00A776DC" w:rsidP="00A776D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A776DC" w:rsidRPr="002733CA" w:rsidRDefault="00A776DC" w:rsidP="00A776D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75D31">
        <w:rPr>
          <w:rFonts w:ascii="Times New Roman" w:hAnsi="Times New Roman" w:cs="Times New Roman"/>
        </w:rPr>
        <w:t>р</w:t>
      </w:r>
      <w:r w:rsidRPr="002733CA">
        <w:rPr>
          <w:rFonts w:ascii="Times New Roman" w:hAnsi="Times New Roman" w:cs="Times New Roman"/>
        </w:rPr>
        <w:t>ешению избирательной комиссии</w:t>
      </w:r>
    </w:p>
    <w:p w:rsidR="00A776DC" w:rsidRPr="002733CA" w:rsidRDefault="00A776DC" w:rsidP="00A776D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Муниципального образования</w:t>
      </w:r>
    </w:p>
    <w:p w:rsidR="00A776DC" w:rsidRPr="002733CA" w:rsidRDefault="00A776DC" w:rsidP="00A776D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«</w:t>
      </w:r>
      <w:proofErr w:type="spellStart"/>
      <w:r w:rsidR="00C026E2">
        <w:rPr>
          <w:rFonts w:ascii="Times New Roman" w:hAnsi="Times New Roman" w:cs="Times New Roman"/>
        </w:rPr>
        <w:t>Канинский</w:t>
      </w:r>
      <w:proofErr w:type="spellEnd"/>
      <w:r w:rsidRPr="002733CA">
        <w:rPr>
          <w:rFonts w:ascii="Times New Roman" w:hAnsi="Times New Roman" w:cs="Times New Roman"/>
        </w:rPr>
        <w:t xml:space="preserve"> сельсовет»</w:t>
      </w:r>
    </w:p>
    <w:p w:rsidR="00A776DC" w:rsidRDefault="00A776DC" w:rsidP="00A776D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 w:rsidRPr="002733CA">
        <w:rPr>
          <w:rFonts w:ascii="Times New Roman" w:hAnsi="Times New Roman" w:cs="Times New Roman"/>
        </w:rPr>
        <w:t>Ненецкого автономного округа</w:t>
      </w:r>
    </w:p>
    <w:p w:rsidR="00A776DC" w:rsidRDefault="00E16C0F" w:rsidP="00A776DC">
      <w:pPr>
        <w:spacing w:after="0"/>
        <w:ind w:firstLine="56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8 </w:t>
      </w:r>
      <w:r w:rsidR="00A776D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="00C026E2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>г  № 67</w:t>
      </w:r>
    </w:p>
    <w:p w:rsidR="00A776DC" w:rsidRDefault="00A776DC" w:rsidP="00A776DC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Форма</w:t>
      </w:r>
    </w:p>
    <w:p w:rsidR="00A776DC" w:rsidRPr="00A776DC" w:rsidRDefault="00A776DC" w:rsidP="00A77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Сведения</w:t>
      </w:r>
    </w:p>
    <w:p w:rsidR="00875D31" w:rsidRDefault="00A776DC" w:rsidP="0087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зарегистрированных кандидатов на должность Главы муниципального образования «</w:t>
      </w:r>
      <w:proofErr w:type="spellStart"/>
      <w:r w:rsidR="00C026E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Канинский</w:t>
      </w:r>
      <w:proofErr w:type="spellEnd"/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сельсовет» Ненецкого автономного округа и депутатов Совета депутатов муниципального образования «</w:t>
      </w:r>
      <w:proofErr w:type="spellStart"/>
      <w:r w:rsidR="00C026E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Канинский</w:t>
      </w:r>
      <w:proofErr w:type="spellEnd"/>
      <w:r w:rsidR="0065052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сельсовет» Ненецкого автономного округа </w:t>
      </w:r>
      <w:r w:rsidR="00C026E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27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-го созыва </w:t>
      </w:r>
    </w:p>
    <w:p w:rsidR="00A776DC" w:rsidRPr="00BF5666" w:rsidRDefault="00A776DC" w:rsidP="0087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2"/>
        <w:tblW w:w="15352" w:type="dxa"/>
        <w:tblInd w:w="470" w:type="dxa"/>
        <w:tblLook w:val="04A0"/>
      </w:tblPr>
      <w:tblGrid>
        <w:gridCol w:w="1721"/>
        <w:gridCol w:w="1721"/>
        <w:gridCol w:w="1721"/>
        <w:gridCol w:w="1771"/>
        <w:gridCol w:w="1687"/>
        <w:gridCol w:w="1574"/>
        <w:gridCol w:w="1615"/>
        <w:gridCol w:w="1771"/>
        <w:gridCol w:w="1771"/>
      </w:tblGrid>
      <w:tr w:rsidR="00A776DC" w:rsidRPr="00A776DC" w:rsidTr="008E3C6F">
        <w:tc>
          <w:tcPr>
            <w:tcW w:w="172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sz w:val="23"/>
                <w:szCs w:val="23"/>
              </w:rPr>
              <w:t>Фамилия, имя, отчество кандидата</w:t>
            </w:r>
          </w:p>
        </w:tc>
        <w:tc>
          <w:tcPr>
            <w:tcW w:w="1574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776DC" w:rsidRPr="00A776DC" w:rsidTr="008E3C6F"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687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574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615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A776DC" w:rsidRPr="00A776DC" w:rsidTr="008E3C6F"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4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A776DC" w:rsidRPr="00A776DC" w:rsidRDefault="00A776DC" w:rsidP="00A776D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8E3C6F" w:rsidRDefault="008E3C6F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776DC" w:rsidRPr="00A776DC" w:rsidRDefault="00A776DC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Заполняется при наличии соответствующих сведений </w:t>
      </w:r>
    </w:p>
    <w:p w:rsidR="00A776DC" w:rsidRPr="00A776DC" w:rsidRDefault="00A776DC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В случае предоставления помещения за плату - в графе указывается стоимость оплаты. </w:t>
      </w:r>
    </w:p>
    <w:p w:rsidR="00A776DC" w:rsidRDefault="00A776DC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 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</w:p>
    <w:p w:rsidR="00543DA6" w:rsidRPr="00E16C0F" w:rsidRDefault="00A776DC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**** Сведения направляются на адрес электронной почты </w:t>
      </w:r>
      <w:r w:rsidR="008E3C6F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>збирательной комиссии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="00C026E2">
        <w:rPr>
          <w:rFonts w:ascii="Times New Roman" w:eastAsia="Times New Roman" w:hAnsi="Times New Roman" w:cs="Times New Roman"/>
          <w:color w:val="000000"/>
          <w:sz w:val="20"/>
          <w:szCs w:val="20"/>
        </w:rPr>
        <w:t>Канинский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сельсовет»</w:t>
      </w:r>
      <w:r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Ненецкого автономного округа </w:t>
      </w:r>
    </w:p>
    <w:p w:rsidR="00A776DC" w:rsidRPr="00A776DC" w:rsidRDefault="00C026E2" w:rsidP="008E3C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2E0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n</w:t>
      </w:r>
      <w:r w:rsidR="00543DA6" w:rsidRPr="00DB2E0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es</w:t>
      </w:r>
      <w:proofErr w:type="spellEnd"/>
      <w:r w:rsidR="00543DA6" w:rsidRPr="00DB2E0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</w:t>
      </w:r>
      <w:proofErr w:type="spellStart"/>
      <w:r w:rsidR="00543DA6" w:rsidRPr="00DB2E0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paneva</w:t>
      </w:r>
      <w:proofErr w:type="spellEnd"/>
      <w:r w:rsidR="00543DA6" w:rsidRPr="00DB2E0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@</w:t>
      </w:r>
      <w:r w:rsidR="00543DA6" w:rsidRPr="00DB2E0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mail</w:t>
      </w:r>
      <w:r w:rsidR="00543DA6" w:rsidRPr="00DB2E0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proofErr w:type="spellStart"/>
      <w:r w:rsidR="00543DA6" w:rsidRPr="00DB2E0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ru</w:t>
      </w:r>
      <w:proofErr w:type="spellEnd"/>
      <w:r w:rsidR="00A776DC" w:rsidRPr="00A776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незамедлительно после поступления соответствующего уведомления</w:t>
      </w:r>
    </w:p>
    <w:p w:rsidR="001221E8" w:rsidRPr="001221E8" w:rsidRDefault="001221E8" w:rsidP="00A776D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221E8" w:rsidRPr="001221E8" w:rsidSect="00A776DC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85AF6"/>
    <w:rsid w:val="001033F2"/>
    <w:rsid w:val="001221E8"/>
    <w:rsid w:val="001C343B"/>
    <w:rsid w:val="00212139"/>
    <w:rsid w:val="002733CA"/>
    <w:rsid w:val="002F6F26"/>
    <w:rsid w:val="00356865"/>
    <w:rsid w:val="00385AF6"/>
    <w:rsid w:val="003F13F4"/>
    <w:rsid w:val="0047209A"/>
    <w:rsid w:val="00476F3A"/>
    <w:rsid w:val="00543DA6"/>
    <w:rsid w:val="0055668C"/>
    <w:rsid w:val="00562D2E"/>
    <w:rsid w:val="0057078E"/>
    <w:rsid w:val="00650523"/>
    <w:rsid w:val="00767EAD"/>
    <w:rsid w:val="00791757"/>
    <w:rsid w:val="00875D31"/>
    <w:rsid w:val="008869D1"/>
    <w:rsid w:val="008A285E"/>
    <w:rsid w:val="008E3C6F"/>
    <w:rsid w:val="008F22ED"/>
    <w:rsid w:val="00976255"/>
    <w:rsid w:val="00A36788"/>
    <w:rsid w:val="00A776DC"/>
    <w:rsid w:val="00AC528B"/>
    <w:rsid w:val="00BD0F7F"/>
    <w:rsid w:val="00BF5666"/>
    <w:rsid w:val="00C026E2"/>
    <w:rsid w:val="00C536C6"/>
    <w:rsid w:val="00D55349"/>
    <w:rsid w:val="00DB2E07"/>
    <w:rsid w:val="00DB4C86"/>
    <w:rsid w:val="00DC1692"/>
    <w:rsid w:val="00E16C0F"/>
    <w:rsid w:val="00E52E6C"/>
    <w:rsid w:val="00EF7259"/>
    <w:rsid w:val="00FC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53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5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BF5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F56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776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53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5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BF5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F56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776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E661-43A8-4935-A32F-D0B8EC07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МО</cp:lastModifiedBy>
  <cp:revision>9</cp:revision>
  <dcterms:created xsi:type="dcterms:W3CDTF">2017-03-10T08:08:00Z</dcterms:created>
  <dcterms:modified xsi:type="dcterms:W3CDTF">2018-08-08T15:23:00Z</dcterms:modified>
</cp:coreProperties>
</file>