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67" w:rsidRDefault="00214367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4367" w:rsidRDefault="00214367">
      <w:pPr>
        <w:pStyle w:val="ConsPlusNormal"/>
        <w:jc w:val="both"/>
      </w:pPr>
    </w:p>
    <w:p w:rsidR="00214367" w:rsidRDefault="00214367">
      <w:pPr>
        <w:pStyle w:val="ConsPlusNormal"/>
        <w:ind w:firstLine="540"/>
        <w:jc w:val="both"/>
      </w:pPr>
      <w:r>
        <w:t xml:space="preserve">Вопрос: </w:t>
      </w:r>
      <w:bookmarkStart w:id="0" w:name="_GoBack"/>
      <w:r>
        <w:t>При каких условиях возможно изменение категории субъекта малого и среднего предпринимательства</w:t>
      </w:r>
      <w:bookmarkEnd w:id="0"/>
      <w:r>
        <w:t>?</w:t>
      </w:r>
    </w:p>
    <w:p w:rsidR="00214367" w:rsidRDefault="00214367">
      <w:pPr>
        <w:pStyle w:val="ConsPlusNormal"/>
        <w:ind w:firstLine="540"/>
        <w:jc w:val="both"/>
      </w:pPr>
    </w:p>
    <w:p w:rsidR="00214367" w:rsidRDefault="00214367">
      <w:pPr>
        <w:pStyle w:val="ConsPlusNormal"/>
        <w:ind w:firstLine="540"/>
        <w:jc w:val="both"/>
      </w:pPr>
      <w:r>
        <w:t xml:space="preserve">Ответ: </w:t>
      </w: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п. 1 ст. 3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N 209-ФЗ,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предприятиям.</w:t>
      </w:r>
      <w:proofErr w:type="gramEnd"/>
    </w:p>
    <w:p w:rsidR="00214367" w:rsidRDefault="00214367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ч. 1 ст. 4</w:t>
        </w:r>
      </w:hyperlink>
      <w:r>
        <w:t xml:space="preserve"> Федерального закона N 209-ФЗ к субъектам малого и среднего предпринимательства относятся, в частности, внесенные в единый государственный реестр юридических лиц коммерческие организации, соответствующие следующим условиям:</w:t>
      </w:r>
    </w:p>
    <w:p w:rsidR="00214367" w:rsidRDefault="00214367">
      <w:pPr>
        <w:pStyle w:val="ConsPlusNormal"/>
        <w:ind w:firstLine="540"/>
        <w:jc w:val="both"/>
      </w:pPr>
      <w:proofErr w:type="gramStart"/>
      <w:r>
        <w:t>1) для юридических лиц - суммарная доля участия РФ, субъектов РФ,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капитале указанных юридических лиц не должна превышать 25%,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25%;</w:t>
      </w:r>
      <w:proofErr w:type="gramEnd"/>
    </w:p>
    <w:p w:rsidR="00214367" w:rsidRDefault="00214367">
      <w:pPr>
        <w:pStyle w:val="ConsPlusNormal"/>
        <w:ind w:firstLine="540"/>
        <w:jc w:val="both"/>
      </w:pPr>
      <w: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214367" w:rsidRDefault="00214367">
      <w:pPr>
        <w:pStyle w:val="ConsPlusNormal"/>
        <w:ind w:firstLine="540"/>
        <w:jc w:val="both"/>
      </w:pPr>
      <w:r>
        <w:t>а) от 101 до 250 человек включительно для средних предприятий;</w:t>
      </w:r>
    </w:p>
    <w:p w:rsidR="00214367" w:rsidRDefault="00214367">
      <w:pPr>
        <w:pStyle w:val="ConsPlusNormal"/>
        <w:ind w:firstLine="540"/>
        <w:jc w:val="both"/>
      </w:pPr>
      <w:r>
        <w:t xml:space="preserve">б) до 100 человек включительно для малых предприятий; среди малых предприятий выделяются </w:t>
      </w:r>
      <w:proofErr w:type="spellStart"/>
      <w:r>
        <w:t>микропредприятия</w:t>
      </w:r>
      <w:proofErr w:type="spellEnd"/>
      <w:r>
        <w:t xml:space="preserve"> - до пятнадцати человек;</w:t>
      </w:r>
    </w:p>
    <w:p w:rsidR="00214367" w:rsidRDefault="00214367">
      <w:pPr>
        <w:pStyle w:val="ConsPlusNormal"/>
        <w:ind w:firstLine="540"/>
        <w:jc w:val="both"/>
      </w:pPr>
      <w:r>
        <w:t>3) выручка от реализации товаров (работ, услуг) без учета НДС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предельных значений, установленных Правительством РФ для каждой категории субъектов малого и среднего предпринимательства.</w:t>
      </w:r>
    </w:p>
    <w:p w:rsidR="00214367" w:rsidRDefault="00214367">
      <w:pPr>
        <w:pStyle w:val="ConsPlusNormal"/>
        <w:ind w:firstLine="540"/>
        <w:jc w:val="both"/>
      </w:pPr>
      <w:r>
        <w:t xml:space="preserve">Предельные значения выручки от реализации товаров (работ, услуг) за предшествующий год без учета НДС для следующих категорий субъектов малого и среднего предпринимательства установлены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22.07.2008 N 556 (далее - Постановление):</w:t>
      </w:r>
    </w:p>
    <w:p w:rsidR="00214367" w:rsidRDefault="00214367">
      <w:pPr>
        <w:pStyle w:val="ConsPlusNormal"/>
        <w:ind w:firstLine="540"/>
        <w:jc w:val="both"/>
      </w:pPr>
      <w:r>
        <w:t xml:space="preserve">для </w:t>
      </w:r>
      <w:proofErr w:type="spellStart"/>
      <w:r>
        <w:t>микропредприятий</w:t>
      </w:r>
      <w:proofErr w:type="spellEnd"/>
      <w:r>
        <w:t xml:space="preserve"> - 60 </w:t>
      </w:r>
      <w:proofErr w:type="gramStart"/>
      <w:r>
        <w:t>млн</w:t>
      </w:r>
      <w:proofErr w:type="gramEnd"/>
      <w:r>
        <w:t xml:space="preserve"> руб.;</w:t>
      </w:r>
    </w:p>
    <w:p w:rsidR="00214367" w:rsidRDefault="00214367">
      <w:pPr>
        <w:pStyle w:val="ConsPlusNormal"/>
        <w:ind w:firstLine="540"/>
        <w:jc w:val="both"/>
      </w:pPr>
      <w:r>
        <w:t xml:space="preserve">для малых предприятий - 400 </w:t>
      </w:r>
      <w:proofErr w:type="gramStart"/>
      <w:r>
        <w:t>млн</w:t>
      </w:r>
      <w:proofErr w:type="gramEnd"/>
      <w:r>
        <w:t xml:space="preserve"> руб.;</w:t>
      </w:r>
    </w:p>
    <w:p w:rsidR="00214367" w:rsidRDefault="00214367">
      <w:pPr>
        <w:pStyle w:val="ConsPlusNormal"/>
        <w:ind w:firstLine="540"/>
        <w:jc w:val="both"/>
      </w:pPr>
      <w:r>
        <w:t xml:space="preserve">для средних предприятий - 1000 </w:t>
      </w:r>
      <w:proofErr w:type="gramStart"/>
      <w:r>
        <w:t>млн</w:t>
      </w:r>
      <w:proofErr w:type="gramEnd"/>
      <w:r>
        <w:t xml:space="preserve"> руб.</w:t>
      </w:r>
    </w:p>
    <w:p w:rsidR="00214367" w:rsidRDefault="00214367">
      <w:pPr>
        <w:pStyle w:val="ConsPlusNormal"/>
        <w:ind w:firstLine="540"/>
        <w:jc w:val="both"/>
      </w:pPr>
      <w:r>
        <w:t>Постановление распространяется на правоотношения, возникшие с 01.01.2008 (</w:t>
      </w:r>
      <w:hyperlink r:id="rId9" w:history="1">
        <w:r>
          <w:rPr>
            <w:color w:val="0000FF"/>
          </w:rPr>
          <w:t>ч. 2</w:t>
        </w:r>
      </w:hyperlink>
      <w:r>
        <w:t xml:space="preserve"> Постановления).</w:t>
      </w:r>
    </w:p>
    <w:p w:rsidR="00214367" w:rsidRDefault="0021436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ч. 4 ст. 4</w:t>
        </w:r>
      </w:hyperlink>
      <w:r>
        <w:t xml:space="preserve"> Федерального закона N 209-ФЗ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11" w:history="1">
        <w:r>
          <w:rPr>
            <w:color w:val="0000FF"/>
          </w:rPr>
          <w:t>п. п. 2</w:t>
        </w:r>
      </w:hyperlink>
      <w:r>
        <w:t xml:space="preserve"> и </w:t>
      </w:r>
      <w:hyperlink r:id="rId12" w:history="1">
        <w:r>
          <w:rPr>
            <w:color w:val="0000FF"/>
          </w:rPr>
          <w:t>3 ч. 1 данной статьи</w:t>
        </w:r>
      </w:hyperlink>
      <w:r>
        <w:t>, в течение двух календарных лет, следующих один за другим.</w:t>
      </w:r>
      <w:proofErr w:type="gramEnd"/>
    </w:p>
    <w:p w:rsidR="00214367" w:rsidRDefault="00214367">
      <w:pPr>
        <w:pStyle w:val="ConsPlusNormal"/>
        <w:ind w:firstLine="540"/>
        <w:jc w:val="both"/>
      </w:pPr>
      <w:proofErr w:type="gramStart"/>
      <w:r>
        <w:t xml:space="preserve">Порядок определения и изменения категории субъекта малого и среднего предпринимательства разъяснен в </w:t>
      </w:r>
      <w:hyperlink r:id="rId13" w:history="1">
        <w:r>
          <w:rPr>
            <w:color w:val="0000FF"/>
          </w:rPr>
          <w:t>Письме</w:t>
        </w:r>
      </w:hyperlink>
      <w:r>
        <w:t xml:space="preserve"> Минэкономразвития России от 18.12.2008 N Д05-5809: поскольку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распространяется на правоотношения, возникшие с 01.01.2008, а предельные значения выручки от реализации определяются за предшествующий год, по мнению Департамента государственного регулирования в экономике, для определения категории субъекта малого и среднего предпринимательства в 2008 г. необходимо учитывать значения выручки от</w:t>
      </w:r>
      <w:proofErr w:type="gramEnd"/>
      <w:r>
        <w:t xml:space="preserve"> реализации товаров (работ, услуг) и среднесписочную численность работников за предшествующий, 2007 г.</w:t>
      </w:r>
    </w:p>
    <w:p w:rsidR="00214367" w:rsidRDefault="00214367">
      <w:pPr>
        <w:pStyle w:val="ConsPlusNormal"/>
        <w:ind w:firstLine="540"/>
        <w:jc w:val="both"/>
      </w:pPr>
      <w:r>
        <w:t>Изменение категории субъекта малого и среднего предпринимательства возможно не ранее 2010 г. по итогам деятельности за 2008 и 2009 гг.</w:t>
      </w:r>
    </w:p>
    <w:p w:rsidR="00214367" w:rsidRDefault="00214367">
      <w:pPr>
        <w:pStyle w:val="ConsPlusNormal"/>
        <w:ind w:firstLine="540"/>
        <w:jc w:val="both"/>
      </w:pPr>
      <w:proofErr w:type="gramStart"/>
      <w:r>
        <w:t xml:space="preserve">Таким образом, если по итогам 2007 г. предприятие в 2008 г. является малым предприятием </w:t>
      </w:r>
      <w:r>
        <w:lastRenderedPageBreak/>
        <w:t xml:space="preserve">(например, выручка без НДС составила 383 476 тыс. руб.), а в 2008 г. выручка составила, например, 493 880 тыс. руб., то согласно </w:t>
      </w:r>
      <w:hyperlink r:id="rId15" w:history="1">
        <w:r>
          <w:rPr>
            <w:color w:val="0000FF"/>
          </w:rPr>
          <w:t>ч. 4 ст. 4</w:t>
        </w:r>
      </w:hyperlink>
      <w:r>
        <w:t xml:space="preserve"> Федерального закона N 209-ФЗ и с учетом разъяснений, приведенных в </w:t>
      </w:r>
      <w:hyperlink r:id="rId16" w:history="1">
        <w:r>
          <w:rPr>
            <w:color w:val="0000FF"/>
          </w:rPr>
          <w:t>Письме</w:t>
        </w:r>
      </w:hyperlink>
      <w:r>
        <w:t xml:space="preserve"> Минэкономразвития России, в 2009 г. у предприятия остается статус</w:t>
      </w:r>
      <w:proofErr w:type="gramEnd"/>
      <w:r>
        <w:t xml:space="preserve"> малого предприятия.</w:t>
      </w:r>
    </w:p>
    <w:p w:rsidR="00214367" w:rsidRDefault="00214367">
      <w:pPr>
        <w:pStyle w:val="ConsPlusNormal"/>
        <w:ind w:firstLine="540"/>
        <w:jc w:val="both"/>
      </w:pPr>
      <w:r>
        <w:t xml:space="preserve">Если в 2009 г. выручка без НДС составит больше 400 </w:t>
      </w:r>
      <w:proofErr w:type="gramStart"/>
      <w:r>
        <w:t>млн</w:t>
      </w:r>
      <w:proofErr w:type="gramEnd"/>
      <w:r>
        <w:t xml:space="preserve"> руб., то по итогам 2008 и 2009 гг. в 2010 г. предприятие приобретает статус среднего предприятия.</w:t>
      </w:r>
    </w:p>
    <w:p w:rsidR="00214367" w:rsidRDefault="00214367">
      <w:pPr>
        <w:pStyle w:val="ConsPlusNormal"/>
        <w:ind w:firstLine="540"/>
        <w:jc w:val="both"/>
      </w:pPr>
      <w:r>
        <w:t xml:space="preserve">Если в 2009 г. выручка без НДС составит меньше 400 </w:t>
      </w:r>
      <w:proofErr w:type="gramStart"/>
      <w:r>
        <w:t>млн</w:t>
      </w:r>
      <w:proofErr w:type="gramEnd"/>
      <w:r>
        <w:t xml:space="preserve"> руб., то в 2010 г. у предприятия остается статус малого предприятия.</w:t>
      </w:r>
    </w:p>
    <w:p w:rsidR="00214367" w:rsidRDefault="00214367">
      <w:pPr>
        <w:pStyle w:val="ConsPlusNormal"/>
        <w:ind w:firstLine="540"/>
        <w:jc w:val="both"/>
      </w:pPr>
    </w:p>
    <w:p w:rsidR="00214367" w:rsidRDefault="00214367">
      <w:pPr>
        <w:pStyle w:val="ConsPlusNormal"/>
        <w:jc w:val="right"/>
      </w:pPr>
      <w:proofErr w:type="spellStart"/>
      <w:r>
        <w:t>Н.Н.Лобанова</w:t>
      </w:r>
      <w:proofErr w:type="spellEnd"/>
    </w:p>
    <w:p w:rsidR="00214367" w:rsidRDefault="00214367">
      <w:pPr>
        <w:pStyle w:val="ConsPlusNormal"/>
        <w:jc w:val="right"/>
      </w:pPr>
      <w:r>
        <w:t>Консалтинговая группа "</w:t>
      </w:r>
      <w:proofErr w:type="spellStart"/>
      <w:r>
        <w:t>Аюдар</w:t>
      </w:r>
      <w:proofErr w:type="spellEnd"/>
      <w:r>
        <w:t>"</w:t>
      </w:r>
    </w:p>
    <w:p w:rsidR="00214367" w:rsidRDefault="00214367">
      <w:pPr>
        <w:pStyle w:val="ConsPlusNormal"/>
        <w:jc w:val="both"/>
      </w:pPr>
      <w:r>
        <w:t>09.11.2009</w:t>
      </w:r>
    </w:p>
    <w:p w:rsidR="00214367" w:rsidRDefault="00214367">
      <w:pPr>
        <w:pStyle w:val="ConsPlusNormal"/>
        <w:jc w:val="both"/>
      </w:pPr>
    </w:p>
    <w:p w:rsidR="00214367" w:rsidRDefault="00214367">
      <w:pPr>
        <w:pStyle w:val="ConsPlusNormal"/>
        <w:jc w:val="both"/>
      </w:pPr>
    </w:p>
    <w:p w:rsidR="00214367" w:rsidRDefault="002143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FA1" w:rsidRDefault="00214367"/>
    <w:sectPr w:rsidR="009A7FA1" w:rsidSect="0023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67"/>
    <w:rsid w:val="00214367"/>
    <w:rsid w:val="003410BE"/>
    <w:rsid w:val="007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4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4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B8ED07152A4CDD4CFB2ED0E6272EA08CC81CBF5400CB6C675F1E6152B32F333EB7634EF5B1DM0bDI" TargetMode="External"/><Relationship Id="rId13" Type="http://schemas.openxmlformats.org/officeDocument/2006/relationships/hyperlink" Target="consultantplus://offline/ref=1DFB8ED07152A4CDD4CFAFF91C0A48EC51C981C9F04D52E1C424A4E81023M6b2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FB8ED07152A4CDD4CFB2ED0E6272EA06C485CEF6400CB6C675F1E6152B32F333EB7634EF5B1FM0b8I" TargetMode="External"/><Relationship Id="rId12" Type="http://schemas.openxmlformats.org/officeDocument/2006/relationships/hyperlink" Target="consultantplus://offline/ref=1DFB8ED07152A4CDD4CFB2ED0E6272EA06C485CEF6400CB6C675F1E6152B32F333EB7634EF5B1FM0bD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FB8ED07152A4CDD4CFAFF91C0A48EC51C981C9F04D52E1C424A4E81023M6b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FB8ED07152A4CDD4CFB2ED0E6272EA06C485CEF6400CB6C675F1E6152B32F333EB7634EF5B1CM0bCI" TargetMode="External"/><Relationship Id="rId11" Type="http://schemas.openxmlformats.org/officeDocument/2006/relationships/hyperlink" Target="consultantplus://offline/ref=1DFB8ED07152A4CDD4CFB2ED0E6272EA06C485CEF6400CB6C675F1E6152B32F333EB7634EF5B1FM0b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DFB8ED07152A4CDD4CFB2ED0E6272EA06C485CEF6400CB6C675F1E6152B32F333EB7634EF5B1FM0b0I" TargetMode="External"/><Relationship Id="rId10" Type="http://schemas.openxmlformats.org/officeDocument/2006/relationships/hyperlink" Target="consultantplus://offline/ref=1DFB8ED07152A4CDD4CFB2ED0E6272EA06C485CEF6400CB6C675F1E6152B32F333EB7634EF5B1FM0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FB8ED07152A4CDD4CFB2ED0E6272EA08CC81CBF5400CB6C675F1E6152B32F333EB7634EF5B1DM0b1I" TargetMode="External"/><Relationship Id="rId14" Type="http://schemas.openxmlformats.org/officeDocument/2006/relationships/hyperlink" Target="consultantplus://offline/ref=1DFB8ED07152A4CDD4CFB2ED0E6272EA08CC81CBF5400CB6C675F1E6M1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Дитятев Анатолий Васильевич</dc:creator>
  <cp:lastModifiedBy>Дитятев Анатолий Васильевич</cp:lastModifiedBy>
  <cp:revision>1</cp:revision>
  <dcterms:created xsi:type="dcterms:W3CDTF">2015-10-28T08:27:00Z</dcterms:created>
  <dcterms:modified xsi:type="dcterms:W3CDTF">2015-10-28T08:28:00Z</dcterms:modified>
</cp:coreProperties>
</file>